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FC1FCD" w:rsidRDefault="00FC1FCD" w:rsidP="00FC1FCD">
      <w:pPr>
        <w:jc w:val="center"/>
        <w:rPr>
          <w:rFonts w:eastAsia="Times New Roman"/>
        </w:rPr>
      </w:pPr>
      <w:r>
        <w:rPr>
          <w:rFonts w:eastAsia="Times New Roman"/>
        </w:rPr>
        <w:t>Conflict Resolution</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FC1FCD" w:rsidRDefault="00FC1FCD" w:rsidP="00FC1FCD">
      <w:pPr>
        <w:jc w:val="center"/>
        <w:rPr>
          <w:rFonts w:eastAsia="Times New Roman"/>
        </w:rPr>
      </w:pPr>
      <w:r>
        <w:rPr>
          <w:rFonts w:eastAsia="Times New Roman"/>
        </w:rPr>
        <w:lastRenderedPageBreak/>
        <w:t>Conflict Resolution</w:t>
      </w:r>
    </w:p>
    <w:p w:rsidR="00F514F8" w:rsidRPr="00F514F8" w:rsidRDefault="00F514F8" w:rsidP="00F514F8">
      <w:pPr>
        <w:ind w:firstLine="720"/>
        <w:rPr>
          <w:rFonts w:eastAsia="Times New Roman"/>
        </w:rPr>
      </w:pPr>
      <w:r w:rsidRPr="00F514F8">
        <w:rPr>
          <w:rFonts w:eastAsia="Times New Roman"/>
        </w:rPr>
        <w:t xml:space="preserve">After analyzing the scenario, I would advise Jennifer to make use of Alternative Conflict Resolution mechanisms to deal with the conflicts between the four employees. Some of the most effective alternative conflict resolution mechanisms that I would recommend to Jennifer include negotiation, mediation, arbitration, and conciliation (Meadow et al., 2018). In Negotiation, conflicting parties sit down and talk without the presence of a third party and come up with the solutions to pressing issues by finding common ground through the process of compromising personal gains. This technique takes into consideration the principles of fairness, mutual benefit, and preserving the relationship after resolving the conflict. </w:t>
      </w:r>
    </w:p>
    <w:p w:rsidR="00F514F8" w:rsidRPr="00F514F8" w:rsidRDefault="00F514F8" w:rsidP="00F514F8">
      <w:pPr>
        <w:ind w:firstLine="720"/>
        <w:rPr>
          <w:rFonts w:eastAsia="Times New Roman"/>
        </w:rPr>
      </w:pPr>
      <w:r w:rsidRPr="00F514F8">
        <w:rPr>
          <w:rFonts w:eastAsia="Times New Roman"/>
        </w:rPr>
        <w:t>The other conflict resolution mechanism is mediation. Here, the conflicting parties are assisted in coming to an agreement by a neutral third party. However, the mediator only facilitates the process but does not help in coming to an agreement. Similar to mediation, conciliation process also makes use of a neutral third party who helps the conflicting parties come to an agreement (Tuurnas et al., 2016). However, in this technique, the third party has the power to help the conflicting parties to come up with an amicable agreement. Therefore, the third party has more powers in shaping the outcome. Therefore, I would advise Jennifer to go with conciliation since she will be in a better position, as the conciliator, to shape the outcome and therefore she will be able to create a conducive working environment for now and in future.</w:t>
      </w:r>
    </w:p>
    <w:p w:rsidR="00F514F8" w:rsidRPr="00F514F8" w:rsidRDefault="00F514F8" w:rsidP="00F514F8">
      <w:pPr>
        <w:ind w:firstLine="720"/>
        <w:rPr>
          <w:rFonts w:eastAsia="Times New Roman"/>
        </w:rPr>
      </w:pPr>
      <w:r w:rsidRPr="00F514F8">
        <w:rPr>
          <w:rFonts w:eastAsia="Times New Roman"/>
        </w:rPr>
        <w:t xml:space="preserve">The primary method of addressing multicultural issues in a working environment is </w:t>
      </w:r>
      <w:r>
        <w:rPr>
          <w:rFonts w:eastAsia="Times New Roman"/>
        </w:rPr>
        <w:t>to understand</w:t>
      </w:r>
      <w:r w:rsidRPr="00F514F8">
        <w:rPr>
          <w:rFonts w:eastAsia="Times New Roman"/>
        </w:rPr>
        <w:t xml:space="preserve"> that the working environment is composed of individuals coming from different cultural backgrounds and are therefore most probable to act in certain ways (Jiang et al., 2016). Since individuals have different cultural backgrounds, they are bound to develop resistance towards certain policies that mostly go against their cultures. Therefore, this </w:t>
      </w:r>
      <w:r w:rsidRPr="00F514F8">
        <w:rPr>
          <w:rFonts w:eastAsia="Times New Roman"/>
        </w:rPr>
        <w:lastRenderedPageBreak/>
        <w:t>understanding will help one come up with means of addressing these issues and creating a working environment that is favourable to all. Companies should also come up with common policies that are common to all individuals coming from all walks of life. This will reduce the resistance that comes from individuals as a result of company policies going against their cultural beliefs.</w:t>
      </w:r>
    </w:p>
    <w:p w:rsidR="00F514F8" w:rsidRPr="00F514F8" w:rsidRDefault="00F514F8" w:rsidP="00F514F8">
      <w:pPr>
        <w:ind w:firstLine="720"/>
        <w:rPr>
          <w:rFonts w:eastAsia="Times New Roman"/>
        </w:rPr>
      </w:pPr>
      <w:r w:rsidRPr="00F514F8">
        <w:rPr>
          <w:rFonts w:eastAsia="Times New Roman"/>
        </w:rPr>
        <w:t>I disagree with Jennifer's decisions and the policies that she put in order to achieve her career goals. According to Dr. Joshi (2014), budget performance should only affect the bonuses that accrue to individual employees but should not affect the salary of the employees either individually or as a group. Also, Mitroussi and Notteboom (2015) argue that in a working environment, docking acts as a demotivation factor which negatively affects the productivity of the employees and also strains the relationship between the employees. Both of these scholarly articles agree that the primary motivation in employees is their salaries. Therefore, I disagree with Jennifer's means, for example, docking, which was a significant cause of the conflict that arose. Messing with salaries is known to be the root of all sorts of resistance at work.</w:t>
      </w:r>
    </w:p>
    <w:p w:rsidR="00F514F8" w:rsidRPr="00F514F8" w:rsidRDefault="00F514F8" w:rsidP="00F514F8">
      <w:pPr>
        <w:ind w:firstLine="720"/>
        <w:rPr>
          <w:rFonts w:eastAsia="Times New Roman"/>
        </w:rPr>
      </w:pPr>
      <w:r w:rsidRPr="00F514F8">
        <w:rPr>
          <w:rFonts w:eastAsia="Times New Roman"/>
        </w:rPr>
        <w:t>According to Johnson&amp; Marshall (2016), Jill Henley needs to understand that sometimes to convince customers to buy the medical equipment, the sales representatives need to create a personal connection with the customers. However, due to the limited call time, the representatives should limit the extent of connection in order to save themselves and their colleagues from being docked. Jordan Burton should understand that some of the customers find it difficult to understand the videos; therefore, the sales representatives need to explain them. However, the explanation should be kept brief.</w:t>
      </w:r>
    </w:p>
    <w:p w:rsidR="00F514F8" w:rsidRPr="00F514F8" w:rsidRDefault="00F514F8" w:rsidP="00F514F8">
      <w:pPr>
        <w:ind w:firstLine="720"/>
        <w:rPr>
          <w:rFonts w:eastAsia="Times New Roman"/>
        </w:rPr>
      </w:pPr>
      <w:r w:rsidRPr="00F514F8">
        <w:rPr>
          <w:rFonts w:eastAsia="Times New Roman"/>
        </w:rPr>
        <w:t xml:space="preserve">Jeff Garvey needs to understand that people have different perceptions of human relationships with each other, depending on their cultural backgrounds (Jiang et al., 2016). </w:t>
      </w:r>
      <w:r w:rsidRPr="00F514F8">
        <w:rPr>
          <w:rFonts w:eastAsia="Times New Roman"/>
        </w:rPr>
        <w:lastRenderedPageBreak/>
        <w:t>However, they should control these perceptions in the instance where the relationships may prove to be costly, especially to their colleagues. The company understands Sonia’s cultural background and her point of argument; however, the company policy is above these policies while others need to be controlled to prevent the other workers from suffering the consequences. Therefore, as employees are expected to conform to the company policies and the working environment.</w:t>
      </w:r>
    </w:p>
    <w:p w:rsidR="00F514F8" w:rsidRPr="00F514F8" w:rsidRDefault="00F514F8" w:rsidP="00F514F8">
      <w:pPr>
        <w:ind w:firstLine="720"/>
        <w:rPr>
          <w:rFonts w:eastAsia="Times New Roman"/>
        </w:rPr>
      </w:pPr>
      <w:r w:rsidRPr="00F514F8">
        <w:rPr>
          <w:rFonts w:eastAsia="Times New Roman"/>
        </w:rPr>
        <w:t>In conclusion, it is clear that conflicts among employees are inevitable. Therefore, management should create a conducive environment among the employees and should not come up with policies that would affect the employees as individuals or as a group and their relationships. The management should also come up with amicable methods of conflict management that will not strain further the relationship between the employees.</w:t>
      </w:r>
    </w:p>
    <w:p w:rsidR="00F514F8" w:rsidRPr="00F514F8" w:rsidRDefault="00F514F8" w:rsidP="00F514F8">
      <w:pPr>
        <w:ind w:firstLine="720"/>
        <w:rPr>
          <w:rFonts w:eastAsia="Times New Roman"/>
        </w:rPr>
      </w:pPr>
    </w:p>
    <w:p w:rsidR="00F514F8" w:rsidRPr="00F514F8" w:rsidRDefault="00F514F8" w:rsidP="00F514F8">
      <w:pPr>
        <w:ind w:firstLine="720"/>
        <w:rPr>
          <w:rFonts w:eastAsia="Times New Roman"/>
        </w:rPr>
      </w:pPr>
    </w:p>
    <w:p w:rsidR="00FC1FCD" w:rsidRDefault="00FC1FCD" w:rsidP="008F3CA0">
      <w:pPr>
        <w:ind w:firstLine="720"/>
        <w:rPr>
          <w:rFonts w:eastAsia="Times New Roman"/>
        </w:rPr>
      </w:pPr>
    </w:p>
    <w:p w:rsidR="00FC1FCD" w:rsidRDefault="00FC1FCD" w:rsidP="00FC1FCD">
      <w:pPr>
        <w:ind w:firstLine="720"/>
        <w:rPr>
          <w:rFonts w:eastAsia="Times New Roman"/>
        </w:rPr>
      </w:pPr>
    </w:p>
    <w:p w:rsidR="00FC1FCD" w:rsidRDefault="00FC1FCD" w:rsidP="00FC1FCD">
      <w:pPr>
        <w:ind w:firstLine="720"/>
        <w:rPr>
          <w:rFonts w:eastAsia="Times New Roman"/>
        </w:rPr>
      </w:pPr>
    </w:p>
    <w:p w:rsidR="00FC1FCD" w:rsidRDefault="00FC1FCD" w:rsidP="00FC1FCD">
      <w:pPr>
        <w:ind w:firstLine="720"/>
        <w:rPr>
          <w:rFonts w:eastAsia="Times New Roman"/>
        </w:rPr>
      </w:pPr>
    </w:p>
    <w:p w:rsidR="00FC1FCD" w:rsidRDefault="00FC1FCD" w:rsidP="00FC1FCD">
      <w:pPr>
        <w:ind w:firstLine="720"/>
        <w:rPr>
          <w:rFonts w:eastAsia="Times New Roman"/>
        </w:rPr>
      </w:pPr>
    </w:p>
    <w:p w:rsidR="00FC1FCD" w:rsidRDefault="00FC1FCD" w:rsidP="00FC1FCD">
      <w:pPr>
        <w:ind w:firstLine="720"/>
        <w:rPr>
          <w:rFonts w:eastAsia="Times New Roman"/>
        </w:rPr>
      </w:pPr>
    </w:p>
    <w:p w:rsidR="00FC1FCD" w:rsidRDefault="00FC1FCD" w:rsidP="008F3CA0">
      <w:pPr>
        <w:rPr>
          <w:rFonts w:eastAsia="Times New Roman"/>
        </w:rPr>
      </w:pPr>
    </w:p>
    <w:p w:rsidR="00D676E8" w:rsidRDefault="00D676E8" w:rsidP="008F3CA0">
      <w:pPr>
        <w:rPr>
          <w:rFonts w:eastAsia="Times New Roman"/>
        </w:rPr>
      </w:pPr>
    </w:p>
    <w:p w:rsidR="00034502" w:rsidRDefault="00034502" w:rsidP="003834D6">
      <w:pPr>
        <w:rPr>
          <w:rFonts w:eastAsia="Times New Roman"/>
        </w:rPr>
      </w:pPr>
    </w:p>
    <w:p w:rsidR="00FC1FCD" w:rsidRDefault="00FC1FCD" w:rsidP="00FC1FCD">
      <w:pPr>
        <w:jc w:val="center"/>
        <w:rPr>
          <w:rFonts w:eastAsia="Times New Roman"/>
        </w:rPr>
      </w:pPr>
      <w:r>
        <w:rPr>
          <w:rFonts w:eastAsia="Times New Roman"/>
        </w:rPr>
        <w:lastRenderedPageBreak/>
        <w:t>References</w:t>
      </w:r>
    </w:p>
    <w:p w:rsidR="00FC1FCD" w:rsidRPr="00C445B7" w:rsidRDefault="004B471B" w:rsidP="00FC1FCD">
      <w:pPr>
        <w:ind w:left="720" w:hanging="720"/>
        <w:rPr>
          <w:rFonts w:eastAsia="Times New Roman"/>
          <w:color w:val="515151"/>
          <w:spacing w:val="5"/>
          <w:shd w:val="clear" w:color="auto" w:fill="FFFFFF"/>
        </w:rPr>
      </w:pPr>
      <w:hyperlink r:id="rId7" w:history="1">
        <w:r w:rsidR="00FC1FCD" w:rsidRPr="003834D6">
          <w:rPr>
            <w:rStyle w:val="Hyperlink"/>
            <w:rFonts w:eastAsia="Times New Roman"/>
            <w:color w:val="auto"/>
            <w:spacing w:val="5"/>
            <w:u w:val="none"/>
            <w:shd w:val="clear" w:color="auto" w:fill="FFFFFF"/>
          </w:rPr>
          <w:t>Dr Pem Lal Joshi</w:t>
        </w:r>
      </w:hyperlink>
      <w:r w:rsidR="00FC1FCD" w:rsidRPr="003834D6">
        <w:rPr>
          <w:rFonts w:eastAsia="Times New Roman"/>
          <w:spacing w:val="5"/>
          <w:shd w:val="clear" w:color="auto" w:fill="FFFFFF"/>
        </w:rPr>
        <w:t>, </w:t>
      </w:r>
      <w:hyperlink r:id="rId8" w:history="1">
        <w:r w:rsidR="00FC1FCD" w:rsidRPr="003834D6">
          <w:rPr>
            <w:rStyle w:val="Hyperlink"/>
            <w:rFonts w:eastAsia="Times New Roman"/>
            <w:color w:val="auto"/>
            <w:spacing w:val="5"/>
            <w:u w:val="none"/>
            <w:shd w:val="clear" w:color="auto" w:fill="FFFFFF"/>
          </w:rPr>
          <w:t>Dr Jasim Abdulla</w:t>
        </w:r>
      </w:hyperlink>
      <w:r w:rsidR="00FC1FCD" w:rsidRPr="003834D6">
        <w:rPr>
          <w:rFonts w:eastAsia="Times New Roman"/>
          <w:spacing w:val="5"/>
          <w:shd w:val="clear" w:color="auto" w:fill="FFFFFF"/>
        </w:rPr>
        <w:t>, (2014) "Budgetary Control and Performance Evaluation Systems in Corporations in Bahrain", </w:t>
      </w:r>
      <w:r w:rsidR="00FC1FCD" w:rsidRPr="003834D6">
        <w:rPr>
          <w:rFonts w:eastAsia="Times New Roman"/>
        </w:rPr>
        <w:t>Asian Review of Accounting</w:t>
      </w:r>
      <w:r w:rsidR="00FC1FCD" w:rsidRPr="003834D6">
        <w:rPr>
          <w:rFonts w:eastAsia="Times New Roman"/>
          <w:spacing w:val="5"/>
          <w:shd w:val="clear" w:color="auto" w:fill="FFFFFF"/>
        </w:rPr>
        <w:t>, Vol. 4 Issue: 2, pp.125-14</w:t>
      </w:r>
      <w:r w:rsidR="00FC1FCD" w:rsidRPr="00C445B7">
        <w:rPr>
          <w:rFonts w:eastAsia="Times New Roman"/>
          <w:color w:val="515151"/>
          <w:spacing w:val="5"/>
          <w:shd w:val="clear" w:color="auto" w:fill="FFFFFF"/>
        </w:rPr>
        <w:t>4, </w:t>
      </w:r>
    </w:p>
    <w:p w:rsidR="00FC1FCD" w:rsidRDefault="00FC1FCD" w:rsidP="00FC1FCD">
      <w:pPr>
        <w:ind w:left="720" w:hanging="720"/>
        <w:rPr>
          <w:rFonts w:eastAsia="Times New Roman"/>
          <w:color w:val="222222"/>
          <w:shd w:val="clear" w:color="auto" w:fill="FFFFFF"/>
        </w:rPr>
      </w:pPr>
      <w:r w:rsidRPr="00C445B7">
        <w:rPr>
          <w:rFonts w:eastAsia="Times New Roman"/>
          <w:color w:val="222222"/>
          <w:shd w:val="clear" w:color="auto" w:fill="FFFFFF"/>
        </w:rPr>
        <w:t>Jiang, X., Flores, H. R., Leelawong, R., &amp;Manz, C. C. (2016). The effect of team empowerment on team performance: A cross-cultural perspective on the mediating roles of knowledge sharing and intra-group conflict. </w:t>
      </w:r>
      <w:r w:rsidRPr="00C445B7">
        <w:rPr>
          <w:rFonts w:eastAsia="Times New Roman"/>
          <w:i/>
          <w:iCs/>
          <w:color w:val="222222"/>
          <w:shd w:val="clear" w:color="auto" w:fill="FFFFFF"/>
        </w:rPr>
        <w:t>International Journal of Conflict Management</w:t>
      </w:r>
      <w:r w:rsidRPr="00C445B7">
        <w:rPr>
          <w:rFonts w:eastAsia="Times New Roman"/>
          <w:color w:val="222222"/>
          <w:shd w:val="clear" w:color="auto" w:fill="FFFFFF"/>
        </w:rPr>
        <w:t>, </w:t>
      </w:r>
      <w:r w:rsidRPr="00C445B7">
        <w:rPr>
          <w:rFonts w:eastAsia="Times New Roman"/>
          <w:i/>
          <w:iCs/>
          <w:color w:val="222222"/>
          <w:shd w:val="clear" w:color="auto" w:fill="FFFFFF"/>
        </w:rPr>
        <w:t>27</w:t>
      </w:r>
      <w:r w:rsidRPr="00C445B7">
        <w:rPr>
          <w:rFonts w:eastAsia="Times New Roman"/>
          <w:color w:val="222222"/>
          <w:shd w:val="clear" w:color="auto" w:fill="FFFFFF"/>
        </w:rPr>
        <w:t>(1), 62-87.</w:t>
      </w:r>
    </w:p>
    <w:p w:rsidR="00D676E8" w:rsidRPr="00034502" w:rsidRDefault="00D676E8" w:rsidP="00FC1FCD">
      <w:pPr>
        <w:ind w:left="720" w:hanging="720"/>
        <w:rPr>
          <w:rFonts w:eastAsia="Times New Roman"/>
          <w:color w:val="222222"/>
          <w:shd w:val="clear" w:color="auto" w:fill="FFFFFF"/>
        </w:rPr>
      </w:pPr>
      <w:r>
        <w:rPr>
          <w:rFonts w:eastAsia="Times New Roman"/>
          <w:color w:val="222222"/>
          <w:shd w:val="clear" w:color="auto" w:fill="FFFFFF"/>
        </w:rPr>
        <w:t>Johnson, M. W.,</w:t>
      </w:r>
      <w:r w:rsidR="00034502">
        <w:rPr>
          <w:rFonts w:eastAsia="Times New Roman"/>
          <w:color w:val="222222"/>
          <w:shd w:val="clear" w:color="auto" w:fill="FFFFFF"/>
        </w:rPr>
        <w:t xml:space="preserve">&amp;Marshall, G. W. (2016). </w:t>
      </w:r>
      <w:r w:rsidR="00034502">
        <w:rPr>
          <w:rFonts w:eastAsia="Times New Roman"/>
          <w:i/>
          <w:color w:val="222222"/>
          <w:shd w:val="clear" w:color="auto" w:fill="FFFFFF"/>
        </w:rPr>
        <w:t xml:space="preserve">Contemporary selling: Building relationships, creating value. </w:t>
      </w:r>
      <w:r w:rsidR="00034502">
        <w:rPr>
          <w:rFonts w:eastAsia="Times New Roman"/>
          <w:color w:val="222222"/>
          <w:shd w:val="clear" w:color="auto" w:fill="FFFFFF"/>
        </w:rPr>
        <w:t>Routledge.</w:t>
      </w:r>
    </w:p>
    <w:p w:rsidR="006B0438" w:rsidRPr="006B0438" w:rsidRDefault="006B0438" w:rsidP="006B0438">
      <w:pPr>
        <w:ind w:left="720" w:hanging="720"/>
        <w:rPr>
          <w:rFonts w:eastAsia="Times New Roman"/>
        </w:rPr>
      </w:pPr>
      <w:r>
        <w:rPr>
          <w:rFonts w:eastAsia="Times New Roman"/>
        </w:rPr>
        <w:t>Kristin J. Behfar, Gerry Yemen &amp; Martin N. Davidson. (2013). Team Conflict: The “Chatty” Accusation at the Customer Support Call Center. University of Virginia Darden School Foundation.</w:t>
      </w:r>
    </w:p>
    <w:p w:rsidR="00FC1FCD" w:rsidRPr="00C445B7" w:rsidRDefault="00FC1FCD" w:rsidP="00FC1FCD">
      <w:pPr>
        <w:ind w:left="720" w:hanging="720"/>
        <w:rPr>
          <w:rFonts w:eastAsia="Times New Roman"/>
          <w:color w:val="222222"/>
          <w:shd w:val="clear" w:color="auto" w:fill="FFFFFF"/>
        </w:rPr>
      </w:pPr>
      <w:r w:rsidRPr="00C445B7">
        <w:rPr>
          <w:rFonts w:eastAsia="Times New Roman"/>
          <w:color w:val="222222"/>
          <w:shd w:val="clear" w:color="auto" w:fill="FFFFFF"/>
        </w:rPr>
        <w:t>Menkel-Meadow, C. J., Porter-Love, L., Kupfer-Schneider, A., &amp; Moffitt, M. (2018). </w:t>
      </w:r>
      <w:r w:rsidRPr="00C445B7">
        <w:rPr>
          <w:rFonts w:eastAsia="Times New Roman"/>
          <w:i/>
          <w:iCs/>
          <w:color w:val="222222"/>
          <w:shd w:val="clear" w:color="auto" w:fill="FFFFFF"/>
        </w:rPr>
        <w:t>Dispute resolution: beyond the adversarial model</w:t>
      </w:r>
      <w:r w:rsidRPr="00C445B7">
        <w:rPr>
          <w:rFonts w:eastAsia="Times New Roman"/>
          <w:color w:val="222222"/>
          <w:shd w:val="clear" w:color="auto" w:fill="FFFFFF"/>
        </w:rPr>
        <w:t>. Aspen Publishers.</w:t>
      </w:r>
      <w:hyperlink r:id="rId9" w:history="1"/>
    </w:p>
    <w:p w:rsidR="00FC1FCD" w:rsidRPr="00C445B7" w:rsidRDefault="00FC1FCD" w:rsidP="00FC1FCD">
      <w:pPr>
        <w:ind w:left="720" w:hanging="720"/>
        <w:rPr>
          <w:rFonts w:eastAsia="Times New Roman"/>
          <w:color w:val="222222"/>
          <w:shd w:val="clear" w:color="auto" w:fill="FFFFFF"/>
        </w:rPr>
      </w:pPr>
      <w:r w:rsidRPr="00C445B7">
        <w:rPr>
          <w:rFonts w:eastAsia="Times New Roman"/>
          <w:color w:val="222222"/>
          <w:shd w:val="clear" w:color="auto" w:fill="FFFFFF"/>
        </w:rPr>
        <w:t>Mitroussi, K., &amp; Notteboom, T. (2015). Getting the work done: motivation needs and processes for seafarers and dock workers. </w:t>
      </w:r>
      <w:r w:rsidRPr="00C445B7">
        <w:rPr>
          <w:rFonts w:eastAsia="Times New Roman"/>
          <w:i/>
          <w:iCs/>
          <w:color w:val="222222"/>
          <w:shd w:val="clear" w:color="auto" w:fill="FFFFFF"/>
        </w:rPr>
        <w:t>WMU Journal of Maritime Affairs</w:t>
      </w:r>
      <w:r w:rsidRPr="00C445B7">
        <w:rPr>
          <w:rFonts w:eastAsia="Times New Roman"/>
          <w:color w:val="222222"/>
          <w:shd w:val="clear" w:color="auto" w:fill="FFFFFF"/>
        </w:rPr>
        <w:t>, </w:t>
      </w:r>
      <w:r w:rsidRPr="00C445B7">
        <w:rPr>
          <w:rFonts w:eastAsia="Times New Roman"/>
          <w:i/>
          <w:iCs/>
          <w:color w:val="222222"/>
          <w:shd w:val="clear" w:color="auto" w:fill="FFFFFF"/>
        </w:rPr>
        <w:t>14</w:t>
      </w:r>
      <w:r w:rsidRPr="00C445B7">
        <w:rPr>
          <w:rFonts w:eastAsia="Times New Roman"/>
          <w:color w:val="222222"/>
          <w:shd w:val="clear" w:color="auto" w:fill="FFFFFF"/>
        </w:rPr>
        <w:t>(2), 247-265.</w:t>
      </w:r>
    </w:p>
    <w:p w:rsidR="00B20C0E" w:rsidRPr="00B20C0E" w:rsidRDefault="00704FA4" w:rsidP="006B0438">
      <w:pPr>
        <w:ind w:left="720" w:hanging="720"/>
      </w:pPr>
      <w:r w:rsidRPr="00015EAF">
        <w:rPr>
          <w:rFonts w:eastAsia="Times New Roman"/>
          <w:color w:val="222222"/>
          <w:shd w:val="clear" w:color="auto" w:fill="FFFFFF"/>
        </w:rPr>
        <w:t>Tuurnas, S., Stenvall, J., &amp;Rannisto, P. H. (2016). The impact of co-production on frontline accountability: the case of the conciliation service. </w:t>
      </w:r>
      <w:r w:rsidRPr="00015EAF">
        <w:rPr>
          <w:rFonts w:eastAsia="Times New Roman"/>
          <w:i/>
          <w:iCs/>
          <w:color w:val="222222"/>
          <w:shd w:val="clear" w:color="auto" w:fill="FFFFFF"/>
        </w:rPr>
        <w:t>International Review of Administrative Sciences</w:t>
      </w:r>
      <w:r w:rsidRPr="00015EAF">
        <w:rPr>
          <w:rFonts w:eastAsia="Times New Roman"/>
          <w:color w:val="222222"/>
          <w:shd w:val="clear" w:color="auto" w:fill="FFFFFF"/>
        </w:rPr>
        <w:t>, </w:t>
      </w:r>
      <w:r w:rsidRPr="00015EAF">
        <w:rPr>
          <w:rFonts w:eastAsia="Times New Roman"/>
          <w:i/>
          <w:iCs/>
          <w:color w:val="222222"/>
          <w:shd w:val="clear" w:color="auto" w:fill="FFFFFF"/>
        </w:rPr>
        <w:t>82</w:t>
      </w:r>
      <w:r w:rsidRPr="00015EAF">
        <w:rPr>
          <w:rFonts w:eastAsia="Times New Roman"/>
          <w:color w:val="222222"/>
          <w:shd w:val="clear" w:color="auto" w:fill="FFFFFF"/>
        </w:rPr>
        <w:t>(1), 131-149</w:t>
      </w:r>
    </w:p>
    <w:sectPr w:rsidR="00B20C0E" w:rsidRPr="00B20C0E" w:rsidSect="006E645A">
      <w:headerReference w:type="default" r:id="rId10"/>
      <w:headerReference w:type="first" r:id="rId11"/>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C92" w:rsidRDefault="005F7C92">
      <w:pPr>
        <w:spacing w:after="0" w:line="240" w:lineRule="auto"/>
      </w:pPr>
      <w:r>
        <w:separator/>
      </w:r>
    </w:p>
  </w:endnote>
  <w:endnote w:type="continuationSeparator" w:id="1">
    <w:p w:rsidR="005F7C92" w:rsidRDefault="005F7C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C92" w:rsidRDefault="005F7C92">
      <w:pPr>
        <w:spacing w:after="0" w:line="240" w:lineRule="auto"/>
      </w:pPr>
      <w:r>
        <w:separator/>
      </w:r>
    </w:p>
  </w:footnote>
  <w:footnote w:type="continuationSeparator" w:id="1">
    <w:p w:rsidR="005F7C92" w:rsidRDefault="005F7C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Pr="00FC1FCD" w:rsidRDefault="00FC1FCD" w:rsidP="00B20C0E">
        <w:pPr>
          <w:rPr>
            <w:rFonts w:eastAsia="Times New Roman"/>
          </w:rPr>
        </w:pPr>
        <w:r>
          <w:rPr>
            <w:rFonts w:eastAsia="Times New Roman"/>
          </w:rPr>
          <w:t>CONFLICT RESOLUTION</w:t>
        </w:r>
        <w:r>
          <w:rPr>
            <w:rFonts w:eastAsia="Times New Roman"/>
          </w:rPr>
          <w:tab/>
        </w:r>
        <w:r w:rsidR="00B20C0E">
          <w:tab/>
        </w:r>
        <w:r w:rsidR="00B20C0E">
          <w:tab/>
        </w:r>
        <w:r w:rsidR="00B20C0E">
          <w:tab/>
        </w:r>
        <w:r w:rsidR="00B20C0E">
          <w:tab/>
        </w:r>
        <w:r w:rsidR="00B20C0E">
          <w:tab/>
        </w:r>
        <w:r w:rsidR="0007681D">
          <w:tab/>
        </w:r>
        <w:r w:rsidR="0007681D">
          <w:tab/>
        </w:r>
        <w:r w:rsidR="004F430B">
          <w:tab/>
        </w:r>
        <w:r w:rsidR="004B471B">
          <w:fldChar w:fldCharType="begin"/>
        </w:r>
        <w:r w:rsidR="00532362">
          <w:instrText xml:space="preserve"> PAGE   \* MERGEFORMAT </w:instrText>
        </w:r>
        <w:r w:rsidR="004B471B">
          <w:fldChar w:fldCharType="separate"/>
        </w:r>
        <w:r w:rsidR="00F514F8">
          <w:rPr>
            <w:noProof/>
          </w:rPr>
          <w:t>1</w:t>
        </w:r>
        <w:r w:rsidR="004B471B">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FC1FCD" w:rsidRDefault="004F430B" w:rsidP="00FC1FCD">
    <w:pPr>
      <w:rPr>
        <w:rFonts w:eastAsia="Times New Roman"/>
      </w:rPr>
    </w:pPr>
    <w:r>
      <w:t>Running head:</w:t>
    </w:r>
    <w:r w:rsidR="00F514F8">
      <w:t xml:space="preserve"> </w:t>
    </w:r>
    <w:r w:rsidR="00FC1FCD">
      <w:rPr>
        <w:rFonts w:eastAsia="Times New Roman"/>
      </w:rPr>
      <w:t>CONFLICT RESOLUTION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4502"/>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34D6"/>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B471B"/>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5F7C92"/>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438"/>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4FA4"/>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3CA0"/>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CAA"/>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85C"/>
    <w:rsid w:val="00A77988"/>
    <w:rsid w:val="00A8277A"/>
    <w:rsid w:val="00A85D56"/>
    <w:rsid w:val="00A86930"/>
    <w:rsid w:val="00AA6357"/>
    <w:rsid w:val="00AA6BEA"/>
    <w:rsid w:val="00AA6E90"/>
    <w:rsid w:val="00AB23FA"/>
    <w:rsid w:val="00AB5DAB"/>
    <w:rsid w:val="00AB6E61"/>
    <w:rsid w:val="00AC3D4D"/>
    <w:rsid w:val="00AD213C"/>
    <w:rsid w:val="00AE51B9"/>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676E8"/>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4F8"/>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1FCD"/>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insight.com/author/Abdulla%2C+Jasi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eraldinsight.com/author/Lal+Joshi%2C+Pe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108/eb060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966</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2019-05-21T22:07:00Z</dcterms:created>
  <dcterms:modified xsi:type="dcterms:W3CDTF">2019-05-21T22:07:00Z</dcterms:modified>
</cp:coreProperties>
</file>